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pPr>
      <w:r>
        <w:rPr>
          <w:rFonts w:ascii="Arial" w:hAnsi="Arial"/>
          <w:b/>
          <w:i w:val="0"/>
          <w:color w:val="0A6E6E"/>
          <w:sz w:val="48"/>
        </w:rPr>
        <w:t>Going Beyond the Numbers</w:t>
      </w:r>
    </w:p>
    <w:p>
      <w:pPr>
        <w:spacing w:after="80"/>
      </w:pPr>
      <w:r>
        <w:rPr>
          <w:rFonts w:ascii="Arial" w:hAnsi="Arial"/>
          <w:b w:val="0"/>
          <w:i w:val="0"/>
          <w:color w:val="0D2B3E"/>
          <w:sz w:val="26"/>
        </w:rPr>
        <w:t>STR Portfolio Analysis — Market-Context Approach</w:t>
      </w:r>
    </w:p>
    <w:p>
      <w:pPr>
        <w:spacing w:after="480"/>
      </w:pPr>
      <w:r>
        <w:rPr>
          <w:rFonts w:ascii="Arial" w:hAnsi="Arial"/>
          <w:b w:val="0"/>
          <w:i w:val="0"/>
          <w:color w:val="6B8A99"/>
          <w:sz w:val="20"/>
        </w:rPr>
        <w:t>20 Properties  ·  6 Markets  ·  Actionable Recommendations</w:t>
      </w:r>
    </w:p>
    <w:p>
      <w:pPr>
        <w:spacing w:after="480"/>
        <w:pBdr>
          <w:bottom w:val="single" w:sz="12" w:space="1" w:color="0A6E6E"/>
        </w:pBdr>
      </w:pPr>
    </w:p>
    <w:p>
      <w:pPr>
        <w:pStyle w:val="Heading1"/>
      </w:pPr>
      <w:r>
        <w:t>1. Understanding the Platform</w:t>
      </w:r>
    </w:p>
    <w:p>
      <w:pPr>
        <w:spacing w:after="120"/>
      </w:pPr>
      <w:r>
        <w:rPr>
          <w:rFonts w:ascii="Arial" w:hAnsi="Arial"/>
          <w:b w:val="0"/>
          <w:i w:val="0"/>
          <w:color w:val="1A3A4A"/>
          <w:sz w:val="22"/>
        </w:rPr>
        <w:t>Before analyzing any data, a foundational understanding of the dynamic pricing platform was established through completion of both the Host and Manager Bootcamps, the 3-Step Quickstart Guide, Charts Guide, and Market Insights documentation.</w:t>
      </w:r>
    </w:p>
    <w:p>
      <w:pPr>
        <w:spacing w:after="120"/>
      </w:pPr>
      <w:r>
        <w:rPr>
          <w:rFonts w:ascii="Arial" w:hAnsi="Arial"/>
          <w:b w:val="0"/>
          <w:i w:val="0"/>
          <w:color w:val="1A3A4A"/>
          <w:sz w:val="22"/>
        </w:rPr>
        <w:t>Key principles that informed the analysis:</w:t>
      </w:r>
    </w:p>
    <w:p>
      <w:pPr>
        <w:pStyle w:val="ListBullet"/>
      </w:pPr>
      <w:r>
        <w:rPr>
          <w:rFonts w:ascii="Arial" w:hAnsi="Arial"/>
          <w:color w:val="1A3A4A"/>
          <w:sz w:val="22"/>
        </w:rPr>
        <w:t>Base Price is the annual average anchor — dynamic pricing fluctuates above and below it based on real-time demand.</w:t>
      </w:r>
    </w:p>
    <w:p>
      <w:pPr>
        <w:pStyle w:val="ListBullet"/>
      </w:pPr>
      <w:r>
        <w:rPr>
          <w:rFonts w:ascii="Arial" w:hAnsi="Arial"/>
          <w:color w:val="1A3A4A"/>
          <w:sz w:val="22"/>
        </w:rPr>
        <w:t>Health Score measures proximity to optimal neighborhood occupancy — not absolute occupancy. A property can be fully booked and still have a mediocre health score if the neighborhood benchmark is higher.</w:t>
      </w:r>
    </w:p>
    <w:p>
      <w:pPr>
        <w:pStyle w:val="ListBullet"/>
      </w:pPr>
      <w:r>
        <w:rPr>
          <w:rFonts w:ascii="Arial" w:hAnsi="Arial"/>
          <w:color w:val="1A3A4A"/>
          <w:sz w:val="22"/>
        </w:rPr>
        <w:t>Minimum Price is the algorithm’s floor. Setting it too close to base price (&gt;85%) effectively disables dynamic pricing.</w:t>
      </w:r>
    </w:p>
    <w:p>
      <w:pPr>
        <w:pStyle w:val="ListBullet"/>
      </w:pPr>
      <w:r>
        <w:rPr>
          <w:rFonts w:ascii="Arial" w:hAnsi="Arial"/>
          <w:color w:val="1A3A4A"/>
          <w:sz w:val="22"/>
        </w:rPr>
        <w:t>The platform should be monitored every 2 weeks. Historical ADR is a strong starting point for initial base price calibration.</w:t>
      </w:r>
    </w:p>
    <w:p>
      <w:pPr>
        <w:pStyle w:val="ListBullet"/>
      </w:pPr>
      <w:r>
        <w:rPr>
          <w:rFonts w:ascii="Arial" w:hAnsi="Arial"/>
          <w:color w:val="1A3A4A"/>
          <w:sz w:val="22"/>
        </w:rPr>
        <w:t>Lowering nightly price during low demand periods increases total revenue — more nights booked at slightly lower rates outperforms fewer nights at higher rates.</w:t>
      </w:r>
    </w:p>
    <w:p>
      <w:pPr>
        <w:pStyle w:val="Heading1"/>
      </w:pPr>
      <w:r>
        <w:t>2. Viable Approaches</w:t>
      </w:r>
    </w:p>
    <w:p>
      <w:pPr>
        <w:pStyle w:val="Heading2"/>
      </w:pPr>
      <w:r>
        <w:t>Intervention Score (0–100)</w:t>
      </w:r>
    </w:p>
    <w:p>
      <w:pPr>
        <w:spacing w:after="120"/>
      </w:pPr>
      <w:r>
        <w:rPr>
          <w:rFonts w:ascii="Arial" w:hAnsi="Arial"/>
          <w:b w:val="0"/>
          <w:i w:val="0"/>
          <w:color w:val="1A3A4A"/>
          <w:sz w:val="22"/>
        </w:rPr>
        <w:t>An initial approach considered was a single composite score combining five weighted components: Health Score (35pts), 30-day Occupancy (25pts), % Nights at Minimum (20pts), Days Since Base Change (10pts), and % Nights Blocked (10pts).</w:t>
      </w:r>
    </w:p>
    <w:p>
      <w:pPr>
        <w:spacing w:after="120"/>
      </w:pPr>
      <w:r>
        <w:rPr>
          <w:rFonts w:ascii="Arial" w:hAnsi="Arial"/>
          <w:b/>
          <w:i w:val="0"/>
          <w:color w:val="1A3A4A"/>
          <w:sz w:val="22"/>
        </w:rPr>
        <w:t xml:space="preserve">Advantage: </w:t>
      </w:r>
      <w:r>
        <w:rPr>
          <w:rFonts w:ascii="Arial" w:hAnsi="Arial"/>
          <w:b w:val="0"/>
          <w:i w:val="0"/>
          <w:color w:val="1A3A4A"/>
          <w:sz w:val="22"/>
        </w:rPr>
        <w:t>Quick triage across a large portfolio. Instantly identifies which properties need attention.</w:t>
      </w:r>
    </w:p>
    <w:p>
      <w:pPr>
        <w:spacing w:after="120"/>
      </w:pPr>
      <w:r>
        <w:rPr>
          <w:rFonts w:ascii="Arial" w:hAnsi="Arial"/>
          <w:b/>
          <w:i w:val="0"/>
          <w:color w:val="1A3A4A"/>
          <w:sz w:val="22"/>
        </w:rPr>
        <w:t xml:space="preserve">Limitation: </w:t>
      </w:r>
      <w:r>
        <w:rPr>
          <w:rFonts w:ascii="Arial" w:hAnsi="Arial"/>
          <w:b w:val="0"/>
          <w:i w:val="0"/>
          <w:color w:val="1A3A4A"/>
          <w:sz w:val="22"/>
        </w:rPr>
        <w:t>A single number cannot distinguish between a ski resort in normal off-season (low metrics expected) and a listing that is genuinely failing (low metrics alarming). Both would score high. Only one needs action.</w:t>
      </w:r>
    </w:p>
    <w:p>
      <w:pPr>
        <w:pStyle w:val="Heading2"/>
      </w:pPr>
      <w:r>
        <w:t>Market-Context Approach (Selected)</w:t>
      </w:r>
    </w:p>
    <w:p>
      <w:pPr>
        <w:spacing w:after="120"/>
      </w:pPr>
      <w:r>
        <w:rPr>
          <w:rFonts w:ascii="Arial" w:hAnsi="Arial"/>
          <w:b w:val="0"/>
          <w:i w:val="0"/>
          <w:color w:val="1A3A4A"/>
          <w:sz w:val="22"/>
        </w:rPr>
        <w:t>The selected framework uses a 30-day / 90-day occupancy decision matrix, cross-referenced with lead-time classification and market type, to determine whether weak metrics are expected or alarming.</w:t>
      </w:r>
    </w:p>
    <w:p>
      <w:pPr>
        <w:spacing w:after="120"/>
      </w:pPr>
      <w:r>
        <w:rPr>
          <w:rFonts w:ascii="Arial" w:hAnsi="Arial"/>
          <w:b/>
          <w:i w:val="0"/>
          <w:color w:val="1A3A4A"/>
          <w:sz w:val="22"/>
        </w:rPr>
        <w:t xml:space="preserve">Core advantage: </w:t>
      </w:r>
      <w:r>
        <w:rPr>
          <w:rFonts w:ascii="Arial" w:hAnsi="Arial"/>
          <w:b w:val="0"/>
          <w:i w:val="0"/>
          <w:color w:val="1A3A4A"/>
          <w:sz w:val="22"/>
        </w:rPr>
        <w:t>Prevents false positives. Avoids unnecessary base price cuts during seasonal dips by validating each signal against market context.</w:t>
      </w:r>
    </w:p>
    <w:p>
      <w:r>
        <w:br w:type="page"/>
      </w:r>
    </w:p>
    <w:p>
      <w:pPr>
        <w:pStyle w:val="Heading1"/>
      </w:pPr>
      <w:r>
        <w:t>3. Key Analytical Dimensions</w:t>
      </w:r>
    </w:p>
    <w:p>
      <w:pPr>
        <w:pStyle w:val="Heading2"/>
      </w:pPr>
      <w:r>
        <w:t>30d / 90d Occupancy Decision Matrix</w:t>
      </w:r>
    </w:p>
    <w:p>
      <w:pPr>
        <w:spacing w:after="120"/>
      </w:pPr>
      <w:r>
        <w:rPr>
          <w:rFonts w:ascii="Arial" w:hAnsi="Arial"/>
          <w:b w:val="0"/>
          <w:i w:val="0"/>
          <w:color w:val="1A3A4A"/>
          <w:sz w:val="22"/>
        </w:rPr>
        <w:t>The primary diagnostic tool. By cross-referencing near-term (30d) and forward-looking (90d) occupancy, each property is classified into one of four states:</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val="clear" w:color="auto" w:fill="0A6E6E"/>
          </w:tcPr>
          <w:p>
            <w:r/>
            <w:r>
              <w:rPr>
                <w:rFonts w:ascii="Arial" w:hAnsi="Arial"/>
                <w:b/>
                <w:color w:val="FFFFFF"/>
                <w:sz w:val="18"/>
              </w:rPr>
            </w:r>
          </w:p>
        </w:tc>
        <w:tc>
          <w:tcPr>
            <w:tcW w:type="dxa" w:w="2880"/>
            <w:shd w:val="clear" w:color="auto" w:fill="0A6E6E"/>
          </w:tcPr>
          <w:p>
            <w:r/>
            <w:r>
              <w:rPr>
                <w:rFonts w:ascii="Arial" w:hAnsi="Arial"/>
                <w:b/>
                <w:color w:val="FFFFFF"/>
                <w:sz w:val="18"/>
              </w:rPr>
              <w:t>90d ≥ 30%</w:t>
            </w:r>
          </w:p>
        </w:tc>
        <w:tc>
          <w:tcPr>
            <w:tcW w:type="dxa" w:w="2880"/>
            <w:shd w:val="clear" w:color="auto" w:fill="0A6E6E"/>
          </w:tcPr>
          <w:p>
            <w:r/>
            <w:r>
              <w:rPr>
                <w:rFonts w:ascii="Arial" w:hAnsi="Arial"/>
                <w:b/>
                <w:color w:val="FFFFFF"/>
                <w:sz w:val="18"/>
              </w:rPr>
              <w:t>90d &lt; 30%</w:t>
            </w:r>
          </w:p>
        </w:tc>
      </w:tr>
      <w:tr>
        <w:tc>
          <w:tcPr>
            <w:tcW w:type="dxa" w:w="2880"/>
          </w:tcPr>
          <w:p>
            <w:r/>
            <w:r>
              <w:rPr>
                <w:rFonts w:ascii="Arial" w:hAnsi="Arial"/>
                <w:color w:val="1A3A4A"/>
                <w:sz w:val="18"/>
              </w:rPr>
              <w:t>30d ≥ 50%</w:t>
            </w:r>
          </w:p>
        </w:tc>
        <w:tc>
          <w:tcPr>
            <w:tcW w:type="dxa" w:w="2880"/>
          </w:tcPr>
          <w:p>
            <w:r/>
            <w:r>
              <w:rPr>
                <w:rFonts w:ascii="Arial" w:hAnsi="Arial"/>
                <w:color w:val="1A3A4A"/>
                <w:sz w:val="18"/>
              </w:rPr>
              <w:t>🟢 STRONG — Maintain or raise</w:t>
            </w:r>
          </w:p>
        </w:tc>
        <w:tc>
          <w:tcPr>
            <w:tcW w:type="dxa" w:w="2880"/>
          </w:tcPr>
          <w:p>
            <w:r/>
            <w:r>
              <w:rPr>
                <w:rFonts w:ascii="Arial" w:hAnsi="Arial"/>
                <w:color w:val="1A3A4A"/>
                <w:sz w:val="18"/>
              </w:rPr>
              <w:t>🟢 SHORT WINDOW — Books close-in</w:t>
            </w:r>
          </w:p>
        </w:tc>
      </w:tr>
      <w:tr>
        <w:tc>
          <w:tcPr>
            <w:tcW w:type="dxa" w:w="2880"/>
          </w:tcPr>
          <w:p>
            <w:r/>
            <w:r>
              <w:rPr>
                <w:rFonts w:ascii="Arial" w:hAnsi="Arial"/>
                <w:color w:val="1A3A4A"/>
                <w:sz w:val="18"/>
              </w:rPr>
              <w:t>30d &lt; 50%</w:t>
            </w:r>
          </w:p>
        </w:tc>
        <w:tc>
          <w:tcPr>
            <w:tcW w:type="dxa" w:w="2880"/>
          </w:tcPr>
          <w:p>
            <w:r/>
            <w:r>
              <w:rPr>
                <w:rFonts w:ascii="Arial" w:hAnsi="Arial"/>
                <w:color w:val="1A3A4A"/>
                <w:sz w:val="18"/>
              </w:rPr>
              <w:t>🟡 SEASONAL — Last-min discounts</w:t>
            </w:r>
          </w:p>
        </w:tc>
        <w:tc>
          <w:tcPr>
            <w:tcW w:type="dxa" w:w="2880"/>
          </w:tcPr>
          <w:p>
            <w:r/>
            <w:r>
              <w:rPr>
                <w:rFonts w:ascii="Arial" w:hAnsi="Arial"/>
                <w:color w:val="1A3A4A"/>
                <w:sz w:val="18"/>
              </w:rPr>
              <w:t>🔴 INTERVENTION — Cut base price</w:t>
            </w:r>
          </w:p>
        </w:tc>
      </w:tr>
    </w:tbl>
    <w:p/>
    <w:p>
      <w:pPr>
        <w:pStyle w:val="Heading2"/>
      </w:pPr>
      <w:r>
        <w:t>Min / Base Price Ratio</w:t>
      </w:r>
    </w:p>
    <w:p>
      <w:pPr>
        <w:spacing w:after="120"/>
      </w:pPr>
      <w:r>
        <w:rPr>
          <w:rFonts w:ascii="Arial" w:hAnsi="Arial"/>
          <w:b w:val="0"/>
          <w:i w:val="0"/>
          <w:color w:val="1A3A4A"/>
          <w:sz w:val="22"/>
        </w:rPr>
        <w:t>The minimum price as a percentage of base price determines the algorithm’s dynamic range. Five properties in this portfolio have ratios above 80%, effectively disabling the algorithm’s ability to flex pricing downward during low demand.</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val="clear" w:color="auto" w:fill="0A6E6E"/>
          </w:tcPr>
          <w:p>
            <w:r/>
            <w:r>
              <w:rPr>
                <w:rFonts w:ascii="Arial" w:hAnsi="Arial"/>
                <w:b/>
                <w:color w:val="FFFFFF"/>
                <w:sz w:val="18"/>
              </w:rPr>
              <w:t>Ratio</w:t>
            </w:r>
          </w:p>
        </w:tc>
        <w:tc>
          <w:tcPr>
            <w:tcW w:type="dxa" w:w="2880"/>
            <w:shd w:val="clear" w:color="auto" w:fill="0A6E6E"/>
          </w:tcPr>
          <w:p>
            <w:r/>
            <w:r>
              <w:rPr>
                <w:rFonts w:ascii="Arial" w:hAnsi="Arial"/>
                <w:b/>
                <w:color w:val="FFFFFF"/>
                <w:sz w:val="18"/>
              </w:rPr>
              <w:t>Status</w:t>
            </w:r>
          </w:p>
        </w:tc>
        <w:tc>
          <w:tcPr>
            <w:tcW w:type="dxa" w:w="2880"/>
            <w:shd w:val="clear" w:color="auto" w:fill="0A6E6E"/>
          </w:tcPr>
          <w:p>
            <w:r/>
            <w:r>
              <w:rPr>
                <w:rFonts w:ascii="Arial" w:hAnsi="Arial"/>
                <w:b/>
                <w:color w:val="FFFFFF"/>
                <w:sz w:val="18"/>
              </w:rPr>
              <w:t>Impact</w:t>
            </w:r>
          </w:p>
        </w:tc>
      </w:tr>
      <w:tr>
        <w:tc>
          <w:tcPr>
            <w:tcW w:type="dxa" w:w="2880"/>
          </w:tcPr>
          <w:p>
            <w:r/>
            <w:r>
              <w:rPr>
                <w:rFonts w:ascii="Arial" w:hAnsi="Arial"/>
                <w:color w:val="1A3A4A"/>
                <w:sz w:val="18"/>
              </w:rPr>
              <w:t>&lt; 50%</w:t>
            </w:r>
          </w:p>
        </w:tc>
        <w:tc>
          <w:tcPr>
            <w:tcW w:type="dxa" w:w="2880"/>
          </w:tcPr>
          <w:p>
            <w:r/>
            <w:r>
              <w:rPr>
                <w:rFonts w:ascii="Arial" w:hAnsi="Arial"/>
                <w:color w:val="1A3A4A"/>
                <w:sz w:val="18"/>
              </w:rPr>
              <w:t>Wide spread</w:t>
            </w:r>
          </w:p>
        </w:tc>
        <w:tc>
          <w:tcPr>
            <w:tcW w:type="dxa" w:w="2880"/>
          </w:tcPr>
          <w:p>
            <w:r/>
            <w:r>
              <w:rPr>
                <w:rFonts w:ascii="Arial" w:hAnsi="Arial"/>
                <w:color w:val="1A3A4A"/>
                <w:sz w:val="18"/>
              </w:rPr>
              <w:t>Algorithm has full flexibility</w:t>
            </w:r>
          </w:p>
        </w:tc>
      </w:tr>
      <w:tr>
        <w:tc>
          <w:tcPr>
            <w:tcW w:type="dxa" w:w="2880"/>
          </w:tcPr>
          <w:p>
            <w:r/>
            <w:r>
              <w:rPr>
                <w:rFonts w:ascii="Arial" w:hAnsi="Arial"/>
                <w:color w:val="1A3A4A"/>
                <w:sz w:val="18"/>
              </w:rPr>
              <w:t>50–75%</w:t>
            </w:r>
          </w:p>
        </w:tc>
        <w:tc>
          <w:tcPr>
            <w:tcW w:type="dxa" w:w="2880"/>
          </w:tcPr>
          <w:p>
            <w:r/>
            <w:r>
              <w:rPr>
                <w:rFonts w:ascii="Arial" w:hAnsi="Arial"/>
                <w:color w:val="1A3A4A"/>
                <w:sz w:val="18"/>
              </w:rPr>
              <w:t>Moderate</w:t>
            </w:r>
          </w:p>
        </w:tc>
        <w:tc>
          <w:tcPr>
            <w:tcW w:type="dxa" w:w="2880"/>
          </w:tcPr>
          <w:p>
            <w:r/>
            <w:r>
              <w:rPr>
                <w:rFonts w:ascii="Arial" w:hAnsi="Arial"/>
                <w:color w:val="1A3A4A"/>
                <w:sz w:val="18"/>
              </w:rPr>
              <w:t>Acceptable for most markets</w:t>
            </w:r>
          </w:p>
        </w:tc>
      </w:tr>
      <w:tr>
        <w:tc>
          <w:tcPr>
            <w:tcW w:type="dxa" w:w="2880"/>
          </w:tcPr>
          <w:p>
            <w:r/>
            <w:r>
              <w:rPr>
                <w:rFonts w:ascii="Arial" w:hAnsi="Arial"/>
                <w:color w:val="1A3A4A"/>
                <w:sz w:val="18"/>
              </w:rPr>
              <w:t>75–85%</w:t>
            </w:r>
          </w:p>
        </w:tc>
        <w:tc>
          <w:tcPr>
            <w:tcW w:type="dxa" w:w="2880"/>
          </w:tcPr>
          <w:p>
            <w:r/>
            <w:r>
              <w:rPr>
                <w:rFonts w:ascii="Arial" w:hAnsi="Arial"/>
                <w:color w:val="1A3A4A"/>
                <w:sz w:val="18"/>
              </w:rPr>
              <w:t>Tight</w:t>
            </w:r>
          </w:p>
        </w:tc>
        <w:tc>
          <w:tcPr>
            <w:tcW w:type="dxa" w:w="2880"/>
          </w:tcPr>
          <w:p>
            <w:r/>
            <w:r>
              <w:rPr>
                <w:rFonts w:ascii="Arial" w:hAnsi="Arial"/>
                <w:color w:val="1A3A4A"/>
                <w:sz w:val="18"/>
              </w:rPr>
              <w:t>Algorithm constrained</w:t>
            </w:r>
          </w:p>
        </w:tc>
      </w:tr>
      <w:tr>
        <w:tc>
          <w:tcPr>
            <w:tcW w:type="dxa" w:w="2880"/>
          </w:tcPr>
          <w:p>
            <w:r/>
            <w:r>
              <w:rPr>
                <w:rFonts w:ascii="Arial" w:hAnsi="Arial"/>
                <w:color w:val="1A3A4A"/>
                <w:sz w:val="18"/>
              </w:rPr>
              <w:t>&gt; 85%</w:t>
            </w:r>
          </w:p>
        </w:tc>
        <w:tc>
          <w:tcPr>
            <w:tcW w:type="dxa" w:w="2880"/>
          </w:tcPr>
          <w:p>
            <w:r/>
            <w:r>
              <w:rPr>
                <w:rFonts w:ascii="Arial" w:hAnsi="Arial"/>
                <w:color w:val="1A3A4A"/>
                <w:sz w:val="18"/>
              </w:rPr>
              <w:t>Frozen</w:t>
            </w:r>
          </w:p>
        </w:tc>
        <w:tc>
          <w:tcPr>
            <w:tcW w:type="dxa" w:w="2880"/>
          </w:tcPr>
          <w:p>
            <w:r/>
            <w:r>
              <w:rPr>
                <w:rFonts w:ascii="Arial" w:hAnsi="Arial"/>
                <w:color w:val="1A3A4A"/>
                <w:sz w:val="18"/>
              </w:rPr>
              <w:t>Effectively fixed pricing</w:t>
            </w:r>
          </w:p>
        </w:tc>
      </w:tr>
    </w:tbl>
    <w:p/>
    <w:p>
      <w:pPr>
        <w:pStyle w:val="Heading2"/>
      </w:pPr>
      <w:r>
        <w:t>Adjusted Occupancy</w:t>
      </w:r>
    </w:p>
    <w:p>
      <w:pPr>
        <w:spacing w:after="120"/>
      </w:pPr>
      <w:r>
        <w:rPr>
          <w:rFonts w:ascii="Arial" w:hAnsi="Arial"/>
          <w:b w:val="0"/>
          <w:i w:val="0"/>
          <w:color w:val="1A3A4A"/>
          <w:sz w:val="22"/>
        </w:rPr>
        <w:t>Standard occupancy divides booked nights by total nights. This penalizes properties where hosts block significant calendar portions. Adjusted Occupancy removes blocked nights from the denominator, revealing true utilization of available inventory.</w:t>
      </w:r>
    </w:p>
    <w:p>
      <w:pPr>
        <w:spacing w:after="120"/>
      </w:pPr>
      <w:r>
        <w:rPr>
          <w:rFonts w:ascii="Arial" w:hAnsi="Arial"/>
          <w:b/>
          <w:i w:val="0"/>
          <w:color w:val="1A3A4A"/>
          <w:sz w:val="22"/>
        </w:rPr>
        <w:t xml:space="preserve">Formula: </w:t>
      </w:r>
      <w:r>
        <w:rPr>
          <w:rFonts w:ascii="Arial" w:hAnsi="Arial"/>
          <w:b w:val="0"/>
          <w:i w:val="0"/>
          <w:color w:val="1A3A4A"/>
          <w:sz w:val="22"/>
        </w:rPr>
        <w:t>Adjusted Occ = (Occ% × Total Nights) ÷ (Total Nights × (1 – %Blocked / 100))</w:t>
      </w:r>
    </w:p>
    <w:p>
      <w:pPr>
        <w:spacing w:after="120"/>
      </w:pPr>
      <w:r>
        <w:rPr>
          <w:rFonts w:ascii="Arial" w:hAnsi="Arial"/>
          <w:b/>
          <w:i w:val="0"/>
          <w:color w:val="1A3A4A"/>
          <w:sz w:val="22"/>
        </w:rPr>
        <w:t xml:space="preserve">Example — Fall Ridge 412: </w:t>
      </w:r>
      <w:r>
        <w:rPr>
          <w:rFonts w:ascii="Arial" w:hAnsi="Arial"/>
          <w:b w:val="0"/>
          <w:i w:val="0"/>
          <w:color w:val="1A3A4A"/>
          <w:sz w:val="22"/>
        </w:rPr>
        <w:t>Shows 10% occupancy (appears critical). But 85% of nights are host-blocked. Adjusted occupancy = 67%. The available inventory IS booking. The problem is host behavior, not pricing.</w:t>
      </w:r>
    </w:p>
    <w:p>
      <w:pPr>
        <w:pStyle w:val="Heading2"/>
      </w:pPr>
      <w:r>
        <w:t>Lead Time Classification</w:t>
      </w:r>
    </w:p>
    <w:p>
      <w:pPr>
        <w:spacing w:after="120"/>
      </w:pPr>
      <w:r>
        <w:rPr>
          <w:rFonts w:ascii="Arial" w:hAnsi="Arial"/>
          <w:b w:val="0"/>
          <w:i w:val="0"/>
          <w:color w:val="1A3A4A"/>
          <w:sz w:val="22"/>
        </w:rPr>
        <w:t>How far in advance guests book reveals the market’s demand pattern and determines urgency of action:</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val="clear" w:color="auto" w:fill="0A6E6E"/>
          </w:tcPr>
          <w:p>
            <w:r/>
            <w:r>
              <w:rPr>
                <w:rFonts w:ascii="Arial" w:hAnsi="Arial"/>
                <w:b/>
                <w:color w:val="FFFFFF"/>
                <w:sz w:val="18"/>
              </w:rPr>
              <w:t>Classification</w:t>
            </w:r>
          </w:p>
        </w:tc>
        <w:tc>
          <w:tcPr>
            <w:tcW w:type="dxa" w:w="2880"/>
            <w:shd w:val="clear" w:color="auto" w:fill="0A6E6E"/>
          </w:tcPr>
          <w:p>
            <w:r/>
            <w:r>
              <w:rPr>
                <w:rFonts w:ascii="Arial" w:hAnsi="Arial"/>
                <w:b/>
                <w:color w:val="FFFFFF"/>
                <w:sz w:val="18"/>
              </w:rPr>
              <w:t>Lead Time</w:t>
            </w:r>
          </w:p>
        </w:tc>
        <w:tc>
          <w:tcPr>
            <w:tcW w:type="dxa" w:w="2880"/>
            <w:shd w:val="clear" w:color="auto" w:fill="0A6E6E"/>
          </w:tcPr>
          <w:p>
            <w:r/>
            <w:r>
              <w:rPr>
                <w:rFonts w:ascii="Arial" w:hAnsi="Arial"/>
                <w:b/>
                <w:color w:val="FFFFFF"/>
                <w:sz w:val="18"/>
              </w:rPr>
              <w:t>Pattern</w:t>
            </w:r>
          </w:p>
        </w:tc>
      </w:tr>
      <w:tr>
        <w:tc>
          <w:tcPr>
            <w:tcW w:type="dxa" w:w="2880"/>
          </w:tcPr>
          <w:p>
            <w:r/>
            <w:r>
              <w:rPr>
                <w:rFonts w:ascii="Arial" w:hAnsi="Arial"/>
                <w:color w:val="1A3A4A"/>
                <w:sz w:val="18"/>
              </w:rPr>
              <w:t>Last-Minute</w:t>
            </w:r>
          </w:p>
        </w:tc>
        <w:tc>
          <w:tcPr>
            <w:tcW w:type="dxa" w:w="2880"/>
          </w:tcPr>
          <w:p>
            <w:r/>
            <w:r>
              <w:rPr>
                <w:rFonts w:ascii="Arial" w:hAnsi="Arial"/>
                <w:color w:val="1A3A4A"/>
                <w:sz w:val="18"/>
              </w:rPr>
              <w:t>0–14 days</w:t>
            </w:r>
          </w:p>
        </w:tc>
        <w:tc>
          <w:tcPr>
            <w:tcW w:type="dxa" w:w="2880"/>
          </w:tcPr>
          <w:p>
            <w:r/>
            <w:r>
              <w:rPr>
                <w:rFonts w:ascii="Arial" w:hAnsi="Arial"/>
                <w:color w:val="1A3A4A"/>
                <w:sz w:val="18"/>
              </w:rPr>
              <w:t>Impulsive bookings, high price sensitivity</w:t>
            </w:r>
          </w:p>
        </w:tc>
      </w:tr>
      <w:tr>
        <w:tc>
          <w:tcPr>
            <w:tcW w:type="dxa" w:w="2880"/>
          </w:tcPr>
          <w:p>
            <w:r/>
            <w:r>
              <w:rPr>
                <w:rFonts w:ascii="Arial" w:hAnsi="Arial"/>
                <w:color w:val="1A3A4A"/>
                <w:sz w:val="18"/>
              </w:rPr>
              <w:t>Short Window</w:t>
            </w:r>
          </w:p>
        </w:tc>
        <w:tc>
          <w:tcPr>
            <w:tcW w:type="dxa" w:w="2880"/>
          </w:tcPr>
          <w:p>
            <w:r/>
            <w:r>
              <w:rPr>
                <w:rFonts w:ascii="Arial" w:hAnsi="Arial"/>
                <w:color w:val="1A3A4A"/>
                <w:sz w:val="18"/>
              </w:rPr>
              <w:t>15–45 days</w:t>
            </w:r>
          </w:p>
        </w:tc>
        <w:tc>
          <w:tcPr>
            <w:tcW w:type="dxa" w:w="2880"/>
          </w:tcPr>
          <w:p>
            <w:r/>
            <w:r>
              <w:rPr>
                <w:rFonts w:ascii="Arial" w:hAnsi="Arial"/>
                <w:color w:val="1A3A4A"/>
                <w:sz w:val="18"/>
              </w:rPr>
              <w:t>Urban/weekend, demand materializes close-in</w:t>
            </w:r>
          </w:p>
        </w:tc>
      </w:tr>
      <w:tr>
        <w:tc>
          <w:tcPr>
            <w:tcW w:type="dxa" w:w="2880"/>
          </w:tcPr>
          <w:p>
            <w:r/>
            <w:r>
              <w:rPr>
                <w:rFonts w:ascii="Arial" w:hAnsi="Arial"/>
                <w:color w:val="1A3A4A"/>
                <w:sz w:val="18"/>
              </w:rPr>
              <w:t>Standard</w:t>
            </w:r>
          </w:p>
        </w:tc>
        <w:tc>
          <w:tcPr>
            <w:tcW w:type="dxa" w:w="2880"/>
          </w:tcPr>
          <w:p>
            <w:r/>
            <w:r>
              <w:rPr>
                <w:rFonts w:ascii="Arial" w:hAnsi="Arial"/>
                <w:color w:val="1A3A4A"/>
                <w:sz w:val="18"/>
              </w:rPr>
              <w:t>46–90 days</w:t>
            </w:r>
          </w:p>
        </w:tc>
        <w:tc>
          <w:tcPr>
            <w:tcW w:type="dxa" w:w="2880"/>
          </w:tcPr>
          <w:p>
            <w:r/>
            <w:r>
              <w:rPr>
                <w:rFonts w:ascii="Arial" w:hAnsi="Arial"/>
                <w:color w:val="1A3A4A"/>
                <w:sz w:val="18"/>
              </w:rPr>
              <w:t>Typical vacation planning</w:t>
            </w:r>
          </w:p>
        </w:tc>
      </w:tr>
      <w:tr>
        <w:tc>
          <w:tcPr>
            <w:tcW w:type="dxa" w:w="2880"/>
          </w:tcPr>
          <w:p>
            <w:r/>
            <w:r>
              <w:rPr>
                <w:rFonts w:ascii="Arial" w:hAnsi="Arial"/>
                <w:color w:val="1A3A4A"/>
                <w:sz w:val="18"/>
              </w:rPr>
              <w:t>Advance</w:t>
            </w:r>
          </w:p>
        </w:tc>
        <w:tc>
          <w:tcPr>
            <w:tcW w:type="dxa" w:w="2880"/>
          </w:tcPr>
          <w:p>
            <w:r/>
            <w:r>
              <w:rPr>
                <w:rFonts w:ascii="Arial" w:hAnsi="Arial"/>
                <w:color w:val="1A3A4A"/>
                <w:sz w:val="18"/>
              </w:rPr>
              <w:t>91–180 days</w:t>
            </w:r>
          </w:p>
        </w:tc>
        <w:tc>
          <w:tcPr>
            <w:tcW w:type="dxa" w:w="2880"/>
          </w:tcPr>
          <w:p>
            <w:r/>
            <w:r>
              <w:rPr>
                <w:rFonts w:ascii="Arial" w:hAnsi="Arial"/>
                <w:color w:val="1A3A4A"/>
                <w:sz w:val="18"/>
              </w:rPr>
              <w:t>Luxury/seasonal, plans far ahead</w:t>
            </w:r>
          </w:p>
        </w:tc>
      </w:tr>
      <w:tr>
        <w:tc>
          <w:tcPr>
            <w:tcW w:type="dxa" w:w="2880"/>
          </w:tcPr>
          <w:p>
            <w:r/>
            <w:r>
              <w:rPr>
                <w:rFonts w:ascii="Arial" w:hAnsi="Arial"/>
                <w:color w:val="1A3A4A"/>
                <w:sz w:val="18"/>
              </w:rPr>
              <w:t>Far-Out</w:t>
            </w:r>
          </w:p>
        </w:tc>
        <w:tc>
          <w:tcPr>
            <w:tcW w:type="dxa" w:w="2880"/>
          </w:tcPr>
          <w:p>
            <w:r/>
            <w:r>
              <w:rPr>
                <w:rFonts w:ascii="Arial" w:hAnsi="Arial"/>
                <w:color w:val="1A3A4A"/>
                <w:sz w:val="18"/>
              </w:rPr>
              <w:t>180+ days</w:t>
            </w:r>
          </w:p>
        </w:tc>
        <w:tc>
          <w:tcPr>
            <w:tcW w:type="dxa" w:w="2880"/>
          </w:tcPr>
          <w:p>
            <w:r/>
            <w:r>
              <w:rPr>
                <w:rFonts w:ascii="Arial" w:hAnsi="Arial"/>
                <w:color w:val="1A3A4A"/>
                <w:sz w:val="18"/>
              </w:rPr>
              <w:t>Peak-season driven, books months out</w:t>
            </w:r>
          </w:p>
        </w:tc>
      </w:tr>
    </w:tbl>
    <w:p/>
    <w:p>
      <w:r>
        <w:br w:type="page"/>
      </w:r>
    </w:p>
    <w:p>
      <w:pPr>
        <w:pStyle w:val="Heading1"/>
      </w:pPr>
      <w:r>
        <w:t>4. Market-by-Market Findings</w:t>
      </w:r>
    </w:p>
    <w:p>
      <w:pPr>
        <w:pStyle w:val="Heading2"/>
      </w:pPr>
      <w:r>
        <w:t>Chicago — Urban Leisure (5 properties)</w:t>
      </w:r>
    </w:p>
    <w:p>
      <w:pPr>
        <w:spacing w:after="120"/>
      </w:pPr>
      <w:r>
        <w:rPr>
          <w:rFonts w:ascii="Arial" w:hAnsi="Arial"/>
          <w:b w:val="0"/>
          <w:i w:val="0"/>
          <w:color w:val="1A3A4A"/>
          <w:sz w:val="22"/>
        </w:rPr>
        <w:t>Consistent weekday demand, short-to-standard booking window (4–58 days). Two top performers (Shelby, Milwaukee) are hitting minimum price 43% of the time — the algorithm wants to price lower but the floor prevents it. Fix: lower minimum price, not base. Two weakest (Gunnison, Oakdale) genuinely need base reductions — confirmed by the 30d/90d matrix showing both windows soft.</w:t>
      </w:r>
    </w:p>
    <w:p>
      <w:pPr>
        <w:pStyle w:val="Heading2"/>
      </w:pPr>
      <w:r>
        <w:t>Aspen &amp; Vail — Resort / Ski (5 properties)</w:t>
      </w:r>
    </w:p>
    <w:p>
      <w:pPr>
        <w:spacing w:after="120"/>
      </w:pPr>
      <w:r>
        <w:rPr>
          <w:rFonts w:ascii="Arial" w:hAnsi="Arial"/>
          <w:b w:val="0"/>
          <w:i w:val="0"/>
          <w:color w:val="1A3A4A"/>
          <w:sz w:val="22"/>
        </w:rPr>
        <w:t>Highly seasonal luxury market. Current data reflects off-season (spring/early Q2), so low 30d occupancy is expected. Mountain View (87) and 616 Forest West (80) show the 30d-LOW / 90d-HIGH pattern = normal seasonal dip. No base price panic. However, 866 Bachelor Ridge is the portfolio’s most urgent case: Health 9, 100% at minimum, Min/Base 86%. The algorithm has been completely frozen for months. Fall Ridge has 85% of nights blocked — a host coaching conversation, not a pricing fix.</w:t>
      </w:r>
    </w:p>
    <w:p>
      <w:pPr>
        <w:pStyle w:val="Heading2"/>
      </w:pPr>
      <w:r>
        <w:t>Hunter Valley — Coastal Weekend (2 properties)</w:t>
      </w:r>
    </w:p>
    <w:p>
      <w:pPr>
        <w:spacing w:after="120"/>
      </w:pPr>
      <w:r>
        <w:rPr>
          <w:rFonts w:ascii="Arial" w:hAnsi="Arial"/>
          <w:b w:val="0"/>
          <w:i w:val="0"/>
          <w:color w:val="1A3A4A"/>
          <w:sz w:val="22"/>
        </w:rPr>
        <w:t>Both properties are brand new (6 days live). BVILL20 has a 95% Min/Base ratio ($180/$190) — $10 of flex room is not dynamic pricing. Lower min to ~$150 and give time. KIAH5 has 100% of calendar blocked — the host hasn’t actually made the property available.</w:t>
      </w:r>
    </w:p>
    <w:p>
      <w:pPr>
        <w:pStyle w:val="Heading2"/>
      </w:pPr>
      <w:r>
        <w:t>NW White Mountains — Leisure / Nature (1 property)</w:t>
      </w:r>
    </w:p>
    <w:p>
      <w:pPr>
        <w:spacing w:after="120"/>
      </w:pPr>
      <w:r>
        <w:rPr>
          <w:rFonts w:ascii="Arial" w:hAnsi="Arial"/>
          <w:b w:val="0"/>
          <w:i w:val="0"/>
          <w:color w:val="1A3A4A"/>
          <w:sz w:val="22"/>
        </w:rPr>
        <w:t>Deer Park 192 is 100% occupied across both windows with only 20 days live. The base price ($260) was set 17 days before going live — a guess. Market confirms it’s underpriced. Raise to ~$291.</w:t>
      </w:r>
    </w:p>
    <w:p>
      <w:pPr>
        <w:pStyle w:val="Heading2"/>
      </w:pPr>
      <w:r>
        <w:t>Barcelona — Urban Tourism (5 properties)</w:t>
      </w:r>
    </w:p>
    <w:p>
      <w:pPr>
        <w:spacing w:after="120"/>
      </w:pPr>
      <w:r>
        <w:rPr>
          <w:rFonts w:ascii="Arial" w:hAnsi="Arial"/>
          <w:b w:val="0"/>
          <w:i w:val="0"/>
          <w:color w:val="1A3A4A"/>
          <w:sz w:val="22"/>
        </w:rPr>
        <w:t>Most varied market: three properties in the same neighborhood (Dreta de l’Eixample) range from health 89 (Picasso 2.1) to health 20 (Picasso 4.4). This confirms the issue is property-level base price calibration, not market conditions. Picasso 3.1 is fully booked with a 100-day stale base — significant missed revenue. Sleeps 24 (9BR) has 84% blocked — host issue first, pricing second.</w:t>
      </w:r>
    </w:p>
    <w:p>
      <w:pPr>
        <w:pStyle w:val="Heading2"/>
      </w:pPr>
      <w:r>
        <w:t>Costa Brava Sud — Coastal Weekend (1 property)</w:t>
      </w:r>
    </w:p>
    <w:p>
      <w:pPr>
        <w:spacing w:after="120"/>
      </w:pPr>
      <w:r>
        <w:rPr>
          <w:rFonts w:ascii="Arial" w:hAnsi="Arial"/>
          <w:b w:val="0"/>
          <w:i w:val="0"/>
          <w:color w:val="1A3A4A"/>
          <w:sz w:val="22"/>
        </w:rPr>
        <w:t>Strong performer with 93% occ30d and 300-day lead time. Guests book nearly a year in advance. Min/Base at 89% is tight but not causing issues (0% at min). Raise base 10% and widen the spread for more algorithm flexibility.</w:t>
      </w:r>
    </w:p>
    <w:p>
      <w:r>
        <w:br w:type="page"/>
      </w:r>
    </w:p>
    <w:p>
      <w:pPr>
        <w:pStyle w:val="Heading1"/>
      </w:pPr>
      <w:r>
        <w:t>5. Recommendation Summary</w:t>
      </w:r>
    </w:p>
    <w:p>
      <w:pPr>
        <w:spacing w:after="120"/>
      </w:pPr>
      <w:r>
        <w:rPr>
          <w:rFonts w:ascii="Arial" w:hAnsi="Arial"/>
          <w:b w:val="0"/>
          <w:i w:val="0"/>
          <w:color w:val="1A3A4A"/>
          <w:sz w:val="22"/>
        </w:rPr>
        <w:t>Each property was classified using the market-context framework, resulting in four signal categories:</w:t>
      </w:r>
    </w:p>
    <w:tbl>
      <w:tblPr>
        <w:tblStyle w:val="TableGrid"/>
        <w:tblW w:type="auto" w:w="0"/>
        <w:jc w:val="center"/>
        <w:tblLook w:firstColumn="1" w:firstRow="1" w:lastColumn="0" w:lastRow="0" w:noHBand="0" w:noVBand="1" w:val="04A0"/>
      </w:tblPr>
      <w:tblGrid>
        <w:gridCol w:w="2880"/>
        <w:gridCol w:w="2880"/>
        <w:gridCol w:w="2880"/>
      </w:tblGrid>
      <w:tr>
        <w:tc>
          <w:tcPr>
            <w:tcW w:type="dxa" w:w="2880"/>
            <w:shd w:val="clear" w:color="auto" w:fill="0A6E6E"/>
          </w:tcPr>
          <w:p>
            <w:r/>
            <w:r>
              <w:rPr>
                <w:rFonts w:ascii="Arial" w:hAnsi="Arial"/>
                <w:b/>
                <w:color w:val="FFFFFF"/>
                <w:sz w:val="18"/>
              </w:rPr>
              <w:t>Signal</w:t>
            </w:r>
          </w:p>
        </w:tc>
        <w:tc>
          <w:tcPr>
            <w:tcW w:type="dxa" w:w="2880"/>
            <w:shd w:val="clear" w:color="auto" w:fill="0A6E6E"/>
          </w:tcPr>
          <w:p>
            <w:r/>
            <w:r>
              <w:rPr>
                <w:rFonts w:ascii="Arial" w:hAnsi="Arial"/>
                <w:b/>
                <w:color w:val="FFFFFF"/>
                <w:sz w:val="18"/>
              </w:rPr>
              <w:t>Count</w:t>
            </w:r>
          </w:p>
        </w:tc>
        <w:tc>
          <w:tcPr>
            <w:tcW w:type="dxa" w:w="2880"/>
            <w:shd w:val="clear" w:color="auto" w:fill="0A6E6E"/>
          </w:tcPr>
          <w:p>
            <w:r/>
            <w:r>
              <w:rPr>
                <w:rFonts w:ascii="Arial" w:hAnsi="Arial"/>
                <w:b/>
                <w:color w:val="FFFFFF"/>
                <w:sz w:val="18"/>
              </w:rPr>
              <w:t>Action</w:t>
            </w:r>
          </w:p>
        </w:tc>
      </w:tr>
      <w:tr>
        <w:tc>
          <w:tcPr>
            <w:tcW w:type="dxa" w:w="2880"/>
          </w:tcPr>
          <w:p>
            <w:r/>
            <w:r>
              <w:rPr>
                <w:rFonts w:ascii="Arial" w:hAnsi="Arial"/>
                <w:color w:val="1A3A4A"/>
                <w:sz w:val="18"/>
              </w:rPr>
              <w:t>Intervention</w:t>
            </w:r>
          </w:p>
        </w:tc>
        <w:tc>
          <w:tcPr>
            <w:tcW w:type="dxa" w:w="2880"/>
          </w:tcPr>
          <w:p>
            <w:r/>
            <w:r>
              <w:rPr>
                <w:rFonts w:ascii="Arial" w:hAnsi="Arial"/>
                <w:color w:val="1A3A4A"/>
                <w:sz w:val="18"/>
              </w:rPr>
              <w:t>6</w:t>
            </w:r>
          </w:p>
        </w:tc>
        <w:tc>
          <w:tcPr>
            <w:tcW w:type="dxa" w:w="2880"/>
          </w:tcPr>
          <w:p>
            <w:r/>
            <w:r>
              <w:rPr>
                <w:rFonts w:ascii="Arial" w:hAnsi="Arial"/>
                <w:color w:val="1A3A4A"/>
                <w:sz w:val="18"/>
              </w:rPr>
              <w:t>Base price reduction (-5% to -22%)</w:t>
            </w:r>
          </w:p>
        </w:tc>
      </w:tr>
      <w:tr>
        <w:tc>
          <w:tcPr>
            <w:tcW w:type="dxa" w:w="2880"/>
          </w:tcPr>
          <w:p>
            <w:r/>
            <w:r>
              <w:rPr>
                <w:rFonts w:ascii="Arial" w:hAnsi="Arial"/>
                <w:color w:val="1A3A4A"/>
                <w:sz w:val="18"/>
              </w:rPr>
              <w:t>Host Issue</w:t>
            </w:r>
          </w:p>
        </w:tc>
        <w:tc>
          <w:tcPr>
            <w:tcW w:type="dxa" w:w="2880"/>
          </w:tcPr>
          <w:p>
            <w:r/>
            <w:r>
              <w:rPr>
                <w:rFonts w:ascii="Arial" w:hAnsi="Arial"/>
                <w:color w:val="1A3A4A"/>
                <w:sz w:val="18"/>
              </w:rPr>
              <w:t>3</w:t>
            </w:r>
          </w:p>
        </w:tc>
        <w:tc>
          <w:tcPr>
            <w:tcW w:type="dxa" w:w="2880"/>
          </w:tcPr>
          <w:p>
            <w:r/>
            <w:r>
              <w:rPr>
                <w:rFonts w:ascii="Arial" w:hAnsi="Arial"/>
                <w:color w:val="1A3A4A"/>
                <w:sz w:val="18"/>
              </w:rPr>
              <w:t>Calendar unblocking / coaching conversation</w:t>
            </w:r>
          </w:p>
        </w:tc>
      </w:tr>
      <w:tr>
        <w:tc>
          <w:tcPr>
            <w:tcW w:type="dxa" w:w="2880"/>
          </w:tcPr>
          <w:p>
            <w:r/>
            <w:r>
              <w:rPr>
                <w:rFonts w:ascii="Arial" w:hAnsi="Arial"/>
                <w:color w:val="1A3A4A"/>
                <w:sz w:val="18"/>
              </w:rPr>
              <w:t>Monitor</w:t>
            </w:r>
          </w:p>
        </w:tc>
        <w:tc>
          <w:tcPr>
            <w:tcW w:type="dxa" w:w="2880"/>
          </w:tcPr>
          <w:p>
            <w:r/>
            <w:r>
              <w:rPr>
                <w:rFonts w:ascii="Arial" w:hAnsi="Arial"/>
                <w:color w:val="1A3A4A"/>
                <w:sz w:val="18"/>
              </w:rPr>
              <w:t>3</w:t>
            </w:r>
          </w:p>
        </w:tc>
        <w:tc>
          <w:tcPr>
            <w:tcW w:type="dxa" w:w="2880"/>
          </w:tcPr>
          <w:p>
            <w:r/>
            <w:r>
              <w:rPr>
                <w:rFonts w:ascii="Arial" w:hAnsi="Arial"/>
                <w:color w:val="1A3A4A"/>
                <w:sz w:val="18"/>
              </w:rPr>
              <w:t>Seasonal or new listing — hold and reassess</w:t>
            </w:r>
          </w:p>
        </w:tc>
      </w:tr>
      <w:tr>
        <w:tc>
          <w:tcPr>
            <w:tcW w:type="dxa" w:w="2880"/>
          </w:tcPr>
          <w:p>
            <w:r/>
            <w:r>
              <w:rPr>
                <w:rFonts w:ascii="Arial" w:hAnsi="Arial"/>
                <w:color w:val="1A3A4A"/>
                <w:sz w:val="18"/>
              </w:rPr>
              <w:t>Strong</w:t>
            </w:r>
          </w:p>
        </w:tc>
        <w:tc>
          <w:tcPr>
            <w:tcW w:type="dxa" w:w="2880"/>
          </w:tcPr>
          <w:p>
            <w:r/>
            <w:r>
              <w:rPr>
                <w:rFonts w:ascii="Arial" w:hAnsi="Arial"/>
                <w:color w:val="1A3A4A"/>
                <w:sz w:val="18"/>
              </w:rPr>
              <w:t>8</w:t>
            </w:r>
          </w:p>
        </w:tc>
        <w:tc>
          <w:tcPr>
            <w:tcW w:type="dxa" w:w="2880"/>
          </w:tcPr>
          <w:p>
            <w:r/>
            <w:r>
              <w:rPr>
                <w:rFonts w:ascii="Arial" w:hAnsi="Arial"/>
                <w:color w:val="1A3A4A"/>
                <w:sz w:val="18"/>
              </w:rPr>
              <w:t>Maintain or raise base price (+5% to +12%)</w:t>
            </w:r>
          </w:p>
        </w:tc>
      </w:tr>
    </w:tbl>
    <w:p/>
    <w:p>
      <w:pPr>
        <w:pStyle w:val="Heading2"/>
      </w:pPr>
      <w:r>
        <w:t>Top 3 Most Urgent Actions</w:t>
      </w:r>
    </w:p>
    <w:p>
      <w:pPr>
        <w:pStyle w:val="ListBullet"/>
      </w:pPr>
      <w:r>
        <w:rPr>
          <w:rFonts w:ascii="Arial" w:hAnsi="Arial"/>
          <w:color w:val="1A3A4A"/>
          <w:sz w:val="22"/>
        </w:rPr>
        <w:t>866 Bachelor Ridge — Lower min to ~$1,000 AND base to ~$1,340. Algorithm completely frozen (100% at min, health 9).</w:t>
      </w:r>
    </w:p>
    <w:p>
      <w:pPr>
        <w:pStyle w:val="ListBullet"/>
      </w:pPr>
      <w:r>
        <w:rPr>
          <w:rFonts w:ascii="Arial" w:hAnsi="Arial"/>
          <w:color w:val="1A3A4A"/>
          <w:sz w:val="22"/>
        </w:rPr>
        <w:t>Picasso Suites 4.4 — Lower base to ~$234 (-22%). Algorithm frozen at 96% at min despite wide spread.</w:t>
      </w:r>
    </w:p>
    <w:p>
      <w:pPr>
        <w:pStyle w:val="ListBullet"/>
      </w:pPr>
      <w:r>
        <w:rPr>
          <w:rFonts w:ascii="Arial" w:hAnsi="Arial"/>
          <w:color w:val="1A3A4A"/>
          <w:sz w:val="22"/>
        </w:rPr>
        <w:t>Picasso Suite 1.3 — Lower base to ~$130 (-18%). Zero revenue, critical health (28). Same area as Picasso 2.1 which has health 89.</w:t>
      </w:r>
    </w:p>
    <w:p>
      <w:pPr>
        <w:pStyle w:val="Heading2"/>
      </w:pPr>
      <w:r>
        <w:t>Top 3 Revenue Opportunities</w:t>
      </w:r>
    </w:p>
    <w:p>
      <w:pPr>
        <w:pStyle w:val="ListBullet"/>
      </w:pPr>
      <w:r>
        <w:rPr>
          <w:rFonts w:ascii="Arial" w:hAnsi="Arial"/>
          <w:color w:val="1A3A4A"/>
          <w:sz w:val="22"/>
        </w:rPr>
        <w:t>Picasso Suites 3.1 — Raise base to ~$267 (+12%). Fully booked 30d, 100-day stale base, far-out demand (300d lead).</w:t>
      </w:r>
    </w:p>
    <w:p>
      <w:pPr>
        <w:pStyle w:val="ListBullet"/>
      </w:pPr>
      <w:r>
        <w:rPr>
          <w:rFonts w:ascii="Arial" w:hAnsi="Arial"/>
          <w:color w:val="1A3A4A"/>
          <w:sz w:val="22"/>
        </w:rPr>
        <w:t>D0192 Deer Park — Raise base to ~$291 (+12%). 100% occupancy both windows, only 20 days live.</w:t>
      </w:r>
    </w:p>
    <w:p>
      <w:pPr>
        <w:pStyle w:val="ListBullet"/>
      </w:pPr>
      <w:r>
        <w:rPr>
          <w:rFonts w:ascii="Arial" w:hAnsi="Arial"/>
          <w:color w:val="1A3A4A"/>
          <w:sz w:val="22"/>
        </w:rPr>
        <w:t>1918 S Shelby — Raise base to ~$92 (+12%) AND lower min to ~$50. Top performer hitting min 43% of the time.</w:t>
      </w:r>
    </w:p>
    <w:p>
      <w:pPr>
        <w:pStyle w:val="Heading2"/>
      </w:pPr>
      <w:r>
        <w:t>Key Insight</w:t>
      </w:r>
    </w:p>
    <w:p>
      <w:pPr>
        <w:spacing w:after="120"/>
      </w:pPr>
      <w:r>
        <w:rPr>
          <w:rFonts w:ascii="Arial" w:hAnsi="Arial"/>
          <w:b w:val="0"/>
          <w:i w:val="0"/>
          <w:color w:val="1A3A4A"/>
          <w:sz w:val="22"/>
        </w:rPr>
        <w:t>The single most impactful finding across this portfolio is the prevalence of tight Min/Base ratios. Five properties have ratios above 80%, effectively converting a dynamic pricing tool into a fixed-price tool. In many cases, the correct intervention is not a base price change but a minimum price adjustment — giving the algorithm room to do what it was designed to do.</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B8A99"/>
        <w:sz w:val="18"/>
      </w:rPr>
      <w:t>Gabriel Agrisi Paigel</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i/>
        <w:color w:val="6B8A99"/>
        <w:sz w:val="18"/>
      </w:rPr>
      <w:t>Going Beyond the Numbers — STR Portfolio Analysis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rial" w:hAnsi="Arial"/>
      <w:color w:val="1A3A4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Arial" w:hAnsi="Arial"/>
      <w:b/>
      <w:bCs/>
      <w:color w:val="0A6E6E"/>
      <w:sz w:val="32"/>
      <w:szCs w:val="28"/>
    </w:rPr>
  </w:style>
  <w:style w:type="paragraph" w:styleId="Heading2">
    <w:name w:val="heading 2"/>
    <w:basedOn w:val="Normal"/>
    <w:next w:val="Normal"/>
    <w:link w:val="Heading2Char"/>
    <w:uiPriority w:val="9"/>
    <w:unhideWhenUsed/>
    <w:qFormat/>
    <w:rsid w:val="00FC693F"/>
    <w:pPr>
      <w:keepNext/>
      <w:keepLines/>
      <w:spacing w:before="360" w:after="200"/>
      <w:outlineLvl w:val="1"/>
    </w:pPr>
    <w:rPr>
      <w:rFonts w:asciiTheme="majorHAnsi" w:eastAsiaTheme="majorEastAsia" w:hAnsiTheme="majorHAnsi" w:cstheme="majorBidi" w:ascii="Arial" w:hAnsi="Arial"/>
      <w:b/>
      <w:bCs/>
      <w:color w:val="0A6E6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